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62FA" w14:textId="4DEB1380" w:rsidR="00B16B42" w:rsidRPr="00B16B42" w:rsidRDefault="00B16B42" w:rsidP="00B16B42">
      <w:pPr>
        <w:spacing w:before="240" w:after="60" w:line="240" w:lineRule="auto"/>
        <w:ind w:left="113"/>
        <w:jc w:val="center"/>
        <w:outlineLvl w:val="5"/>
        <w:rPr>
          <w:rFonts w:ascii="Arial" w:eastAsia="Times New Roman" w:hAnsi="Arial" w:cs="Arial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B16B42">
        <w:rPr>
          <w:rFonts w:ascii="Arial" w:eastAsia="Times New Roman" w:hAnsi="Arial" w:cs="Arial"/>
          <w:b/>
          <w:bCs/>
          <w:kern w:val="0"/>
          <w:sz w:val="28"/>
          <w:szCs w:val="28"/>
          <w:highlight w:val="green"/>
          <w:lang w:val="x-none" w:eastAsia="x-none"/>
          <w14:ligatures w14:val="none"/>
        </w:rPr>
        <w:t>SIATKÓWKA PLAŻOWA</w:t>
      </w:r>
    </w:p>
    <w:p w14:paraId="73D4D60D" w14:textId="77777777" w:rsidR="00B16B42" w:rsidRPr="00B16B42" w:rsidRDefault="00B16B42" w:rsidP="00B16B42">
      <w:pPr>
        <w:spacing w:after="0" w:line="240" w:lineRule="auto"/>
        <w:ind w:left="113"/>
        <w:contextualSpacing/>
        <w:jc w:val="both"/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B16B42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 xml:space="preserve">Szkoły przystępujące do współzawodnictwa są zobowiązane zarejestrować się przez system rejestracji szkół </w:t>
      </w:r>
      <w:hyperlink r:id="rId5" w:history="1">
        <w:r w:rsidRPr="00B16B42">
          <w:rPr>
            <w:rFonts w:ascii="Arial" w:eastAsia="Times New Roman" w:hAnsi="Arial" w:cs="Arial"/>
            <w:b/>
            <w:bCs/>
            <w:color w:val="0070C0"/>
            <w:kern w:val="0"/>
            <w:u w:val="single"/>
            <w:lang w:eastAsia="pl-PL"/>
            <w14:ligatures w14:val="none"/>
          </w:rPr>
          <w:t>www.srs.szs.pl</w:t>
        </w:r>
      </w:hyperlink>
      <w:r w:rsidRPr="00B16B42">
        <w:rPr>
          <w:rFonts w:ascii="Arial" w:eastAsia="Times New Roman" w:hAnsi="Arial" w:cs="Arial"/>
          <w:b/>
          <w:bCs/>
          <w:color w:val="FF0000"/>
          <w:kern w:val="0"/>
          <w:lang w:eastAsia="pl-PL"/>
          <w14:ligatures w14:val="none"/>
        </w:rPr>
        <w:t xml:space="preserve"> zgodnie z kalendarzami wojewódzkimi. </w:t>
      </w:r>
    </w:p>
    <w:p w14:paraId="4724AAA2" w14:textId="77777777" w:rsidR="00B16B42" w:rsidRPr="00B16B42" w:rsidRDefault="00B16B42" w:rsidP="00B16B42">
      <w:pPr>
        <w:spacing w:after="0" w:line="240" w:lineRule="auto"/>
        <w:ind w:left="113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4B2D0B5" w14:textId="77777777" w:rsidR="00B16B42" w:rsidRPr="00B16B42" w:rsidRDefault="00B16B42" w:rsidP="00B16B42">
      <w:pPr>
        <w:tabs>
          <w:tab w:val="left" w:pos="360"/>
        </w:tabs>
        <w:autoSpaceDE w:val="0"/>
        <w:autoSpaceDN w:val="0"/>
        <w:spacing w:after="0" w:line="240" w:lineRule="auto"/>
        <w:ind w:left="113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I. Uczestnictwo:</w:t>
      </w:r>
    </w:p>
    <w:p w14:paraId="3AFD9103" w14:textId="04F8C60B" w:rsidR="00B16B42" w:rsidRPr="00B16B42" w:rsidRDefault="00B16B42" w:rsidP="00B16B42">
      <w:pPr>
        <w:numPr>
          <w:ilvl w:val="12"/>
          <w:numId w:val="0"/>
        </w:numPr>
        <w:spacing w:after="0" w:line="240" w:lineRule="auto"/>
        <w:ind w:left="11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- drużynę stanowią uczniowie jednej szkoły ponadpodstawowej urodzeni 2004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r. i młodsi (szkoły dzienne),</w:t>
      </w:r>
    </w:p>
    <w:p w14:paraId="2CB0F117" w14:textId="77777777" w:rsidR="00B16B42" w:rsidRPr="00B16B42" w:rsidRDefault="00B16B42" w:rsidP="00B16B42">
      <w:pPr>
        <w:numPr>
          <w:ilvl w:val="12"/>
          <w:numId w:val="0"/>
        </w:numPr>
        <w:spacing w:after="0" w:line="240" w:lineRule="auto"/>
        <w:ind w:left="11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- zespół liczy 2 zawodniczki/zawodników + 1 rezerwowa/rezerwowy.</w:t>
      </w:r>
    </w:p>
    <w:p w14:paraId="1B1DC065" w14:textId="77777777" w:rsidR="00B16B42" w:rsidRPr="00B16B42" w:rsidRDefault="00B16B42" w:rsidP="00B16B42">
      <w:pPr>
        <w:numPr>
          <w:ilvl w:val="12"/>
          <w:numId w:val="0"/>
        </w:numPr>
        <w:spacing w:after="0" w:line="240" w:lineRule="auto"/>
        <w:ind w:left="11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F6AAFA4" w14:textId="77777777" w:rsidR="00B16B42" w:rsidRPr="00B16B42" w:rsidRDefault="00B16B42" w:rsidP="00B16B42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II. Przepisy gry:</w:t>
      </w:r>
    </w:p>
    <w:p w14:paraId="1AE11553" w14:textId="77777777" w:rsidR="00B16B42" w:rsidRPr="00B16B42" w:rsidRDefault="00B16B42" w:rsidP="00B16B42">
      <w:pPr>
        <w:numPr>
          <w:ilvl w:val="0"/>
          <w:numId w:val="4"/>
        </w:numPr>
        <w:spacing w:after="0" w:line="240" w:lineRule="auto"/>
        <w:ind w:left="70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boisko o wymiarach 16 x </w:t>
      </w:r>
      <w:smartTag w:uri="urn:schemas-microsoft-com:office:smarttags" w:element="metricconverter">
        <w:smartTagPr>
          <w:attr w:name="ProductID" w:val="8 m"/>
        </w:smartTagPr>
        <w:smartTag w:uri="urn:schemas-microsoft-com:office:smarttags" w:element="metricconverter">
          <w:smartTagPr>
            <w:attr w:name="ProductID" w:val="8 m"/>
          </w:smartTagPr>
          <w:r w:rsidRPr="00B16B42">
            <w:rPr>
              <w:rFonts w:ascii="Arial" w:eastAsia="Times New Roman" w:hAnsi="Arial" w:cs="Arial"/>
              <w:kern w:val="0"/>
              <w:lang w:eastAsia="pl-PL"/>
              <w14:ligatures w14:val="none"/>
            </w:rPr>
            <w:t>8 m</w:t>
          </w:r>
        </w:smartTag>
        <w:r w:rsidRPr="00B16B42">
          <w:rPr>
            <w:rFonts w:ascii="Arial" w:eastAsia="Times New Roman" w:hAnsi="Arial" w:cs="Arial"/>
            <w:kern w:val="0"/>
            <w:lang w:eastAsia="pl-PL"/>
            <w14:ligatures w14:val="none"/>
          </w:rPr>
          <w:t>,</w:t>
        </w:r>
      </w:smartTag>
    </w:p>
    <w:p w14:paraId="47FBD676" w14:textId="77777777" w:rsidR="00B16B42" w:rsidRPr="00B16B42" w:rsidRDefault="00B16B42" w:rsidP="00B16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wysokość siatki:</w:t>
      </w:r>
    </w:p>
    <w:p w14:paraId="235F4762" w14:textId="77777777" w:rsidR="00B16B42" w:rsidRPr="00B16B42" w:rsidRDefault="00B16B42" w:rsidP="00B16B42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-     dziewczęta: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smartTag w:uri="urn:schemas-microsoft-com:office:smarttags" w:element="metricconverter">
        <w:smartTagPr>
          <w:attr w:name="ProductID" w:val="224 cm"/>
        </w:smartTagPr>
        <w:smartTag w:uri="urn:schemas-microsoft-com:office:smarttags" w:element="metricconverter">
          <w:smartTagPr>
            <w:attr w:name="ProductID" w:val="224 cm"/>
          </w:smartTagPr>
          <w:r w:rsidRPr="00B16B42">
            <w:rPr>
              <w:rFonts w:ascii="Arial" w:eastAsia="Times New Roman" w:hAnsi="Arial" w:cs="Arial"/>
              <w:kern w:val="0"/>
              <w:lang w:eastAsia="pl-PL"/>
              <w14:ligatures w14:val="none"/>
            </w:rPr>
            <w:t>224 cm</w:t>
          </w:r>
        </w:smartTag>
        <w:r w:rsidRPr="00B16B42">
          <w:rPr>
            <w:rFonts w:ascii="Arial" w:eastAsia="Times New Roman" w:hAnsi="Arial" w:cs="Arial"/>
            <w:kern w:val="0"/>
            <w:lang w:eastAsia="pl-PL"/>
            <w14:ligatures w14:val="none"/>
          </w:rPr>
          <w:t>,</w:t>
        </w:r>
      </w:smartTag>
    </w:p>
    <w:p w14:paraId="19423E44" w14:textId="77777777" w:rsidR="00B16B42" w:rsidRPr="00B16B42" w:rsidRDefault="00B16B42" w:rsidP="00B16B42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-     chłopcy: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smartTag w:uri="urn:schemas-microsoft-com:office:smarttags" w:element="metricconverter">
        <w:smartTagPr>
          <w:attr w:name="ProductID" w:val="243 cm"/>
        </w:smartTagPr>
        <w:smartTag w:uri="urn:schemas-microsoft-com:office:smarttags" w:element="metricconverter">
          <w:smartTagPr>
            <w:attr w:name="ProductID" w:val="243 cm"/>
          </w:smartTagPr>
          <w:r w:rsidRPr="00B16B42">
            <w:rPr>
              <w:rFonts w:ascii="Arial" w:eastAsia="Times New Roman" w:hAnsi="Arial" w:cs="Arial"/>
              <w:kern w:val="0"/>
              <w:lang w:eastAsia="pl-PL"/>
              <w14:ligatures w14:val="none"/>
            </w:rPr>
            <w:t>243 cm</w:t>
          </w:r>
        </w:smartTag>
        <w:r w:rsidRPr="00B16B42">
          <w:rPr>
            <w:rFonts w:ascii="Arial" w:eastAsia="Times New Roman" w:hAnsi="Arial" w:cs="Arial"/>
            <w:kern w:val="0"/>
            <w:lang w:eastAsia="pl-PL"/>
            <w14:ligatures w14:val="none"/>
          </w:rPr>
          <w:t>,</w:t>
        </w:r>
      </w:smartTag>
    </w:p>
    <w:p w14:paraId="1D5B6B01" w14:textId="77777777" w:rsidR="00B16B42" w:rsidRPr="00B16B42" w:rsidRDefault="00B16B42" w:rsidP="00B16B42">
      <w:pPr>
        <w:tabs>
          <w:tab w:val="left" w:pos="360"/>
        </w:tabs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 xml:space="preserve">c. </w:t>
      </w:r>
      <w:r w:rsidRPr="00B16B42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>spotkanie rozgrywa się do dwóch wygranych setów, które rozgrywa się do 15 punktów                   (trzeci decydujący set do 11 pkt   przy przynajmniej dwóch punktach przewagi jednego z zespołów),</w:t>
      </w:r>
    </w:p>
    <w:p w14:paraId="3B576DCA" w14:textId="033C125A" w:rsidR="00B16B42" w:rsidRPr="00B16B42" w:rsidRDefault="00B16B42" w:rsidP="00B16B42">
      <w:pPr>
        <w:spacing w:after="0" w:line="240" w:lineRule="auto"/>
        <w:ind w:left="360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d. zawodnik rezerwowy ma prawo wejść wyłącznie raz na boisko w trakcie meczu – bez prawa zmiany powrotnej,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e. 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kolejność zagrywki musi być zachowana od początku do końca seta (zgodnie z kolejnością podaną przez kapitana zespołu po losowaniu),</w:t>
      </w:r>
    </w:p>
    <w:p w14:paraId="241BB0BB" w14:textId="77777777" w:rsidR="00B16B42" w:rsidRPr="00B16B42" w:rsidRDefault="00B16B42" w:rsidP="00B16B42">
      <w:pPr>
        <w:spacing w:after="0" w:line="240" w:lineRule="auto"/>
        <w:ind w:left="426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f. każda akcja mająca na celu skierowanie piłki w kierunku przeciwnika, z wyjątkiem zagrywki i bloku, jest traktowana jako atak,</w:t>
      </w:r>
    </w:p>
    <w:p w14:paraId="5557C14F" w14:textId="3298C629" w:rsidR="00B16B42" w:rsidRPr="00B16B42" w:rsidRDefault="00B16B42" w:rsidP="00B16B42">
      <w:pPr>
        <w:spacing w:after="0" w:line="240" w:lineRule="auto"/>
        <w:ind w:left="426" w:hanging="66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 g.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każda pierwsza piłka (w tym również z zagrywki) nie może być odbita oburącz górą (palcami). </w:t>
      </w:r>
    </w:p>
    <w:p w14:paraId="229FE990" w14:textId="77777777" w:rsidR="00B16B42" w:rsidRPr="00B16B42" w:rsidRDefault="00B16B42" w:rsidP="00B16B42">
      <w:pPr>
        <w:spacing w:after="0" w:line="240" w:lineRule="auto"/>
        <w:contextualSpacing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 xml:space="preserve">       h. we wszystkich pozostałych kwestiach wiążące są przepisy PZPS.</w:t>
      </w:r>
    </w:p>
    <w:p w14:paraId="6BD0086F" w14:textId="77777777" w:rsidR="00B16B42" w:rsidRPr="00B16B42" w:rsidRDefault="00B16B42" w:rsidP="00B16B42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6E08356" w14:textId="77777777" w:rsidR="00B16B42" w:rsidRPr="00B16B42" w:rsidRDefault="00B16B42" w:rsidP="00B16B42">
      <w:p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III. Punktacja.</w:t>
      </w:r>
    </w:p>
    <w:p w14:paraId="0E1B3B35" w14:textId="77777777" w:rsidR="00B16B42" w:rsidRPr="00B16B42" w:rsidRDefault="00B16B42" w:rsidP="00B16B4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przypadku rozgrywania zawodów innym systemem niż „ brazylijski” za wygrane spotkanie drużyna otrzymuje - 2 punkty, za przegrane - 1 punkt, za walkower - 0 punktów. </w:t>
      </w: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br/>
        <w:t>O kolejności zespołów decydują kolejno:</w:t>
      </w:r>
    </w:p>
    <w:p w14:paraId="45BB263D" w14:textId="77777777" w:rsidR="00B16B42" w:rsidRPr="00B16B42" w:rsidRDefault="00B16B42" w:rsidP="00B16B4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 1.  większa liczba zdobytych punktów,</w:t>
      </w:r>
    </w:p>
    <w:p w14:paraId="37B6BEAA" w14:textId="77777777" w:rsidR="00B16B42" w:rsidRPr="00B16B42" w:rsidRDefault="00B16B42" w:rsidP="00B16B4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 xml:space="preserve"> 2.  jeżeli dwie lub więcej drużyn uzyska tę samą liczbę punktów:</w:t>
      </w:r>
    </w:p>
    <w:p w14:paraId="78BD44B0" w14:textId="77777777" w:rsidR="00B16B42" w:rsidRPr="00B16B42" w:rsidRDefault="00B16B42" w:rsidP="00B16B42">
      <w:pPr>
        <w:tabs>
          <w:tab w:val="left" w:pos="900"/>
        </w:tabs>
        <w:spacing w:after="0" w:line="240" w:lineRule="auto"/>
        <w:ind w:left="34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a.  wynik bezpośredniego meczu pomiędzy zainteresowanymi drużynami,</w:t>
      </w:r>
    </w:p>
    <w:p w14:paraId="10011857" w14:textId="77777777" w:rsidR="00B16B42" w:rsidRPr="00B16B42" w:rsidRDefault="00B16B42" w:rsidP="00B16B42">
      <w:pPr>
        <w:tabs>
          <w:tab w:val="left" w:pos="900"/>
        </w:tabs>
        <w:spacing w:after="0" w:line="240" w:lineRule="auto"/>
        <w:ind w:left="34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b. lepszy (wyższy) stosunek setów – wygranych do przegranych w turnieju,</w:t>
      </w:r>
    </w:p>
    <w:p w14:paraId="150F7396" w14:textId="0065ABC1" w:rsidR="00B16B42" w:rsidRDefault="00B16B42" w:rsidP="00B16B42">
      <w:pPr>
        <w:tabs>
          <w:tab w:val="left" w:pos="1080"/>
        </w:tabs>
        <w:spacing w:after="0" w:line="240" w:lineRule="auto"/>
        <w:ind w:left="34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Times New Roman" w:hAnsi="Arial" w:cs="Arial"/>
          <w:kern w:val="0"/>
          <w:lang w:eastAsia="pl-PL"/>
          <w14:ligatures w14:val="none"/>
        </w:rPr>
        <w:t>c. lepszy (wyższy) stosunek małych punktów – zdobytych do straconych w turnieju.</w:t>
      </w:r>
    </w:p>
    <w:p w14:paraId="1A3F206C" w14:textId="77777777" w:rsidR="00B16B42" w:rsidRDefault="00B16B42" w:rsidP="00B16B42">
      <w:pPr>
        <w:tabs>
          <w:tab w:val="left" w:pos="1080"/>
        </w:tabs>
        <w:spacing w:after="0" w:line="240" w:lineRule="auto"/>
        <w:ind w:left="34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C7F5A0C" w14:textId="77777777" w:rsidR="00B16B42" w:rsidRPr="00B16B42" w:rsidRDefault="00B16B42" w:rsidP="00B16B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</w:pPr>
      <w:r w:rsidRPr="00B16B42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>Rozgrywki gminne i powiatowe mogą być sędziowane przez nauczycieli wychowania fizycznego.</w:t>
      </w:r>
    </w:p>
    <w:p w14:paraId="6CAE75B8" w14:textId="77777777" w:rsidR="00B16B42" w:rsidRPr="00B16B42" w:rsidRDefault="00B16B42" w:rsidP="00B16B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</w:pPr>
      <w:r w:rsidRPr="00B16B42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>Każdy uczeń musi posiadać ważną legitymację szkolną. Prawo reprezentowania szkoły mają uczniowie, którzy rozpoczęli w niej naukę nie później niż 1 października roku szkolnego 2023/2024 lub za zgodą organizatora.</w:t>
      </w:r>
    </w:p>
    <w:p w14:paraId="7BE6FB51" w14:textId="77777777" w:rsidR="00B16B42" w:rsidRPr="00B16B42" w:rsidRDefault="00B16B42" w:rsidP="00B16B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</w:pPr>
      <w:r w:rsidRPr="00B16B42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 xml:space="preserve">Każdy uczeń musi posiadać zgodę rodziców lub opiekunów prawnych na udział                    w zawodach. Zgodę należy zamieścić w Systemie Rejestracji Szkół </w:t>
      </w:r>
      <w:r w:rsidRPr="00B16B42">
        <w:rPr>
          <w:rFonts w:ascii="Arial" w:eastAsia="SimSun" w:hAnsi="Arial" w:cs="Arial"/>
          <w:b/>
          <w:bCs/>
          <w:color w:val="0070C0"/>
          <w:kern w:val="3"/>
          <w:lang w:eastAsia="zh-CN" w:bidi="hi-IN"/>
          <w14:ligatures w14:val="none"/>
        </w:rPr>
        <w:t>srs.szs.pl</w:t>
      </w:r>
    </w:p>
    <w:p w14:paraId="7B32185A" w14:textId="67444CC8" w:rsidR="00B16B42" w:rsidRPr="00B16B42" w:rsidRDefault="00B16B42" w:rsidP="00B16B4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6B42">
        <w:rPr>
          <w:rFonts w:ascii="Arial" w:eastAsia="SimSun" w:hAnsi="Arial" w:cs="Arial"/>
          <w:b/>
          <w:bCs/>
          <w:color w:val="FF0000"/>
          <w:kern w:val="3"/>
          <w:lang w:eastAsia="zh-CN" w:bidi="hi-IN"/>
          <w14:ligatures w14:val="none"/>
        </w:rPr>
        <w:t>Zgoda pozostaje w szkole</w:t>
      </w:r>
    </w:p>
    <w:p w14:paraId="0D6F33FA" w14:textId="77777777" w:rsidR="00966DA1" w:rsidRDefault="00966DA1"/>
    <w:sectPr w:rsidR="0096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366445"/>
    <w:multiLevelType w:val="hybridMultilevel"/>
    <w:tmpl w:val="EC063E10"/>
    <w:lvl w:ilvl="0" w:tplc="10E6C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96B12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6F64D07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021EC"/>
    <w:multiLevelType w:val="hybridMultilevel"/>
    <w:tmpl w:val="055E65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43EF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F87D07"/>
    <w:multiLevelType w:val="hybridMultilevel"/>
    <w:tmpl w:val="B254C9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378479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249925758">
    <w:abstractNumId w:val="2"/>
  </w:num>
  <w:num w:numId="3" w16cid:durableId="2113545497">
    <w:abstractNumId w:val="1"/>
  </w:num>
  <w:num w:numId="4" w16cid:durableId="2041853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1"/>
    <w:rsid w:val="00966DA1"/>
    <w:rsid w:val="00B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A3061"/>
  <w15:chartTrackingRefBased/>
  <w15:docId w15:val="{D2499DAE-BC79-47AA-8034-20A8B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s.s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2</cp:revision>
  <dcterms:created xsi:type="dcterms:W3CDTF">2023-09-24T11:02:00Z</dcterms:created>
  <dcterms:modified xsi:type="dcterms:W3CDTF">2023-09-24T11:23:00Z</dcterms:modified>
</cp:coreProperties>
</file>